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FF1" w:rsidRPr="00A97EF8" w:rsidRDefault="00A97EF8" w:rsidP="00563279">
      <w:pPr>
        <w:jc w:val="center"/>
        <w:rPr>
          <w:b/>
          <w:i/>
          <w:color w:val="002060"/>
          <w:sz w:val="28"/>
          <w:szCs w:val="28"/>
        </w:rPr>
      </w:pPr>
      <w:r w:rsidRPr="00A97EF8">
        <w:rPr>
          <w:b/>
          <w:i/>
          <w:color w:val="002060"/>
          <w:sz w:val="24"/>
          <w:szCs w:val="24"/>
        </w:rPr>
        <w:t>PUNTEO SOBRE EL AREA NATURAL TALCUALHUYA, UBICA</w:t>
      </w:r>
      <w:r w:rsidR="00E94A35">
        <w:rPr>
          <w:b/>
          <w:i/>
          <w:color w:val="002060"/>
          <w:sz w:val="24"/>
          <w:szCs w:val="24"/>
        </w:rPr>
        <w:t>D</w:t>
      </w:r>
      <w:r w:rsidRPr="00A97EF8">
        <w:rPr>
          <w:b/>
          <w:i/>
          <w:color w:val="002060"/>
          <w:sz w:val="24"/>
          <w:szCs w:val="24"/>
        </w:rPr>
        <w:t>A EN JURISDICION DE SAN JUAN OPICO Y SAN MATÍAS,  DEPARTAMENTO DE LA LIBERTAD</w:t>
      </w:r>
      <w:r w:rsidRPr="00A97EF8">
        <w:rPr>
          <w:b/>
          <w:i/>
          <w:color w:val="002060"/>
          <w:sz w:val="28"/>
          <w:szCs w:val="28"/>
        </w:rPr>
        <w:t>.</w:t>
      </w:r>
    </w:p>
    <w:p w:rsidR="004C4FF1" w:rsidRPr="00563279" w:rsidRDefault="004C4FF1" w:rsidP="004C4FF1">
      <w:pPr>
        <w:rPr>
          <w:b/>
          <w:color w:val="002060"/>
          <w:sz w:val="28"/>
          <w:szCs w:val="28"/>
        </w:rPr>
      </w:pPr>
      <w:r w:rsidRPr="00563279">
        <w:rPr>
          <w:b/>
          <w:color w:val="002060"/>
          <w:sz w:val="28"/>
          <w:szCs w:val="28"/>
        </w:rPr>
        <w:t xml:space="preserve">Antecedentes  </w:t>
      </w:r>
    </w:p>
    <w:p w:rsidR="004C4FF1" w:rsidRPr="00F462A9" w:rsidRDefault="004C4FF1" w:rsidP="00563279">
      <w:pPr>
        <w:pStyle w:val="Prrafodelista"/>
        <w:numPr>
          <w:ilvl w:val="0"/>
          <w:numId w:val="2"/>
        </w:numPr>
        <w:jc w:val="both"/>
        <w:rPr>
          <w:rFonts w:ascii="Gill Sans MT" w:hAnsi="Gill Sans MT"/>
          <w:sz w:val="24"/>
          <w:szCs w:val="24"/>
        </w:rPr>
      </w:pPr>
      <w:r w:rsidRPr="00F462A9">
        <w:rPr>
          <w:rFonts w:ascii="Gill Sans MT" w:hAnsi="Gill Sans MT"/>
          <w:sz w:val="24"/>
          <w:szCs w:val="24"/>
        </w:rPr>
        <w:t xml:space="preserve">En 1986 se delimita en base a hojas catastrales y según decreto ejecutivo 761 de fecha 23 de julio de 1981 y publicado en diario oficial N°144 tomo 272 de fecha 10 de agosto de 1981; es traspasada al Centro Nacional de Recursos Naturales, con una extensión superficial de 643.078050 ha equivalentes a 920.11607 </w:t>
      </w:r>
      <w:proofErr w:type="spellStart"/>
      <w:r w:rsidRPr="00F462A9">
        <w:rPr>
          <w:rFonts w:ascii="Gill Sans MT" w:hAnsi="Gill Sans MT"/>
          <w:sz w:val="24"/>
          <w:szCs w:val="24"/>
        </w:rPr>
        <w:t>mz.</w:t>
      </w:r>
      <w:proofErr w:type="spellEnd"/>
    </w:p>
    <w:p w:rsidR="004C4FF1" w:rsidRPr="00F462A9" w:rsidRDefault="004C4FF1" w:rsidP="00563279">
      <w:pPr>
        <w:pStyle w:val="Prrafodelista"/>
        <w:numPr>
          <w:ilvl w:val="0"/>
          <w:numId w:val="2"/>
        </w:numPr>
        <w:jc w:val="both"/>
        <w:rPr>
          <w:rFonts w:ascii="Gill Sans MT" w:hAnsi="Gill Sans MT"/>
          <w:sz w:val="24"/>
          <w:szCs w:val="24"/>
        </w:rPr>
      </w:pPr>
      <w:r w:rsidRPr="00F462A9">
        <w:rPr>
          <w:rFonts w:ascii="Gill Sans MT" w:hAnsi="Gill Sans MT"/>
          <w:sz w:val="24"/>
          <w:szCs w:val="24"/>
        </w:rPr>
        <w:t xml:space="preserve">La Unida de Defensa del Patrimonio Natural califica el inmueble en base al artículo 30 y su reglamento a solicitud del Instituto Salvadoreño de Transformación Agraria ( ISTA), de fecha catorce días del mes de agosto de dos mil quince con una extensión superficial de 628.957246 ha equivalentes a 899.912028 </w:t>
      </w:r>
      <w:proofErr w:type="spellStart"/>
      <w:r w:rsidRPr="00F462A9">
        <w:rPr>
          <w:rFonts w:ascii="Gill Sans MT" w:hAnsi="Gill Sans MT"/>
          <w:sz w:val="24"/>
          <w:szCs w:val="24"/>
        </w:rPr>
        <w:t>mz.</w:t>
      </w:r>
      <w:proofErr w:type="spellEnd"/>
    </w:p>
    <w:p w:rsidR="004C4FF1" w:rsidRPr="00F462A9" w:rsidRDefault="004C4FF1" w:rsidP="00563279">
      <w:pPr>
        <w:pStyle w:val="Prrafodelista"/>
        <w:numPr>
          <w:ilvl w:val="0"/>
          <w:numId w:val="2"/>
        </w:numPr>
        <w:jc w:val="both"/>
        <w:rPr>
          <w:rFonts w:ascii="Gill Sans MT" w:hAnsi="Gill Sans MT"/>
          <w:sz w:val="24"/>
          <w:szCs w:val="24"/>
        </w:rPr>
      </w:pPr>
      <w:r w:rsidRPr="00F462A9">
        <w:rPr>
          <w:rFonts w:ascii="Gill Sans MT" w:hAnsi="Gill Sans MT"/>
          <w:sz w:val="24"/>
          <w:szCs w:val="24"/>
        </w:rPr>
        <w:t>Se ha elaborado y firmado Acta de Entrega Material en base al Decreto Legislativo 719  Articulo  30 y su reglamento, presentada en el Centro Nacional de Registro de Santa Tecla el uno de diciembre de 2015 e inscrita el dieciocho del mismo mes y año, sin retirar  por no tener autorización.</w:t>
      </w:r>
    </w:p>
    <w:p w:rsidR="00563279" w:rsidRPr="00F462A9" w:rsidRDefault="006F47D0" w:rsidP="006F47D0">
      <w:pPr>
        <w:pStyle w:val="Prrafodelista"/>
        <w:numPr>
          <w:ilvl w:val="0"/>
          <w:numId w:val="2"/>
        </w:numPr>
        <w:jc w:val="both"/>
        <w:rPr>
          <w:rFonts w:ascii="Gill Sans MT" w:hAnsi="Gill Sans MT" w:cstheme="minorHAnsi"/>
          <w:sz w:val="24"/>
          <w:szCs w:val="24"/>
          <w:lang w:val="es-ES"/>
        </w:rPr>
      </w:pPr>
      <w:r w:rsidRPr="00F462A9">
        <w:rPr>
          <w:rFonts w:ascii="Gill Sans MT" w:hAnsi="Gill Sans MT" w:cstheme="minorHAnsi"/>
          <w:bCs/>
          <w:sz w:val="24"/>
          <w:szCs w:val="24"/>
          <w:lang w:val="es-ES"/>
        </w:rPr>
        <w:t xml:space="preserve">El </w:t>
      </w:r>
      <w:r w:rsidRPr="00F462A9">
        <w:rPr>
          <w:rFonts w:ascii="Gill Sans MT" w:hAnsi="Gill Sans MT" w:cstheme="minorHAnsi"/>
          <w:sz w:val="24"/>
          <w:szCs w:val="24"/>
          <w:lang w:val="es-ES"/>
        </w:rPr>
        <w:t>4 de Abril de 2016, el</w:t>
      </w:r>
      <w:r w:rsidR="00563279" w:rsidRPr="00F462A9">
        <w:rPr>
          <w:rFonts w:ascii="Gill Sans MT" w:hAnsi="Gill Sans MT" w:cstheme="minorHAnsi"/>
          <w:bCs/>
          <w:sz w:val="24"/>
          <w:szCs w:val="24"/>
          <w:lang w:val="es-ES"/>
        </w:rPr>
        <w:t xml:space="preserve"> área fue declarada como Área Natural Protegida, mediante Decreto</w:t>
      </w:r>
      <w:r w:rsidR="00563279" w:rsidRPr="00F462A9">
        <w:rPr>
          <w:rFonts w:ascii="Gill Sans MT" w:hAnsi="Gill Sans MT" w:cstheme="minorHAnsi"/>
          <w:sz w:val="24"/>
          <w:szCs w:val="24"/>
          <w:lang w:val="es-ES"/>
        </w:rPr>
        <w:t xml:space="preserve"> Ejecutivo Nº 9, y publicada en el Diario Oficial el 8 de junio de 2016, DO 106 - Tomo 411.</w:t>
      </w:r>
    </w:p>
    <w:p w:rsidR="00563279" w:rsidRPr="00F462A9" w:rsidRDefault="004C4FF1" w:rsidP="00563279">
      <w:pPr>
        <w:pStyle w:val="Prrafodelista"/>
        <w:numPr>
          <w:ilvl w:val="0"/>
          <w:numId w:val="2"/>
        </w:numPr>
        <w:jc w:val="both"/>
        <w:rPr>
          <w:rFonts w:ascii="Gill Sans MT" w:hAnsi="Gill Sans MT"/>
          <w:sz w:val="24"/>
          <w:szCs w:val="24"/>
        </w:rPr>
      </w:pPr>
      <w:r w:rsidRPr="00F462A9">
        <w:rPr>
          <w:rFonts w:ascii="Gill Sans MT" w:hAnsi="Gill Sans MT"/>
          <w:sz w:val="24"/>
          <w:szCs w:val="24"/>
        </w:rPr>
        <w:t>En la actualidad este inmueble tiene identificados diferentes grupos diseminados de forma ilegal dentro del perímetro: Los Visionarios, La Buena Fe y Los Arrendatario así como colonos, cooperativistas y asentamientos dispersos. esto lo podemos constatar en los montajes e imágenes de la zona.</w:t>
      </w:r>
    </w:p>
    <w:p w:rsidR="00C9728F" w:rsidRPr="00F462A9" w:rsidRDefault="00C9728F" w:rsidP="00C9728F">
      <w:pPr>
        <w:pStyle w:val="Prrafodelista"/>
        <w:numPr>
          <w:ilvl w:val="0"/>
          <w:numId w:val="2"/>
        </w:numPr>
        <w:jc w:val="both"/>
        <w:rPr>
          <w:rFonts w:ascii="Gill Sans MT" w:hAnsi="Gill Sans MT"/>
          <w:sz w:val="24"/>
          <w:szCs w:val="24"/>
        </w:rPr>
      </w:pPr>
      <w:r w:rsidRPr="00F462A9">
        <w:rPr>
          <w:rFonts w:ascii="Gill Sans MT" w:hAnsi="Gill Sans MT" w:cstheme="minorHAnsi"/>
          <w:sz w:val="24"/>
          <w:szCs w:val="24"/>
        </w:rPr>
        <w:t xml:space="preserve">A la fecha el Ministerio de Medio Ambiente y Recursos  Naturales, </w:t>
      </w:r>
      <w:r w:rsidR="00F462A9" w:rsidRPr="00F462A9">
        <w:rPr>
          <w:rFonts w:ascii="Gill Sans MT" w:hAnsi="Gill Sans MT" w:cstheme="minorHAnsi"/>
          <w:sz w:val="24"/>
          <w:szCs w:val="24"/>
        </w:rPr>
        <w:t xml:space="preserve">se encuentra </w:t>
      </w:r>
      <w:r w:rsidRPr="00F462A9">
        <w:rPr>
          <w:rFonts w:ascii="Gill Sans MT" w:hAnsi="Gill Sans MT" w:cstheme="minorHAnsi"/>
          <w:sz w:val="24"/>
          <w:szCs w:val="24"/>
        </w:rPr>
        <w:t xml:space="preserve"> en el  proceso de formulación  del  Plan de Manejo para el  Área</w:t>
      </w:r>
      <w:r w:rsidR="00F462A9" w:rsidRPr="00F462A9">
        <w:rPr>
          <w:rFonts w:ascii="Gill Sans MT" w:hAnsi="Gill Sans MT" w:cstheme="minorHAnsi"/>
          <w:sz w:val="24"/>
          <w:szCs w:val="24"/>
        </w:rPr>
        <w:t xml:space="preserve"> Natural Protegida y la construcción de</w:t>
      </w:r>
      <w:r w:rsidRPr="00F462A9">
        <w:rPr>
          <w:rFonts w:ascii="Gill Sans MT" w:hAnsi="Gill Sans MT" w:cstheme="minorHAnsi"/>
          <w:sz w:val="24"/>
          <w:szCs w:val="24"/>
        </w:rPr>
        <w:t xml:space="preserve"> directrices de manejo, para lo cual se ha</w:t>
      </w:r>
      <w:r w:rsidR="00F462A9" w:rsidRPr="00F462A9">
        <w:rPr>
          <w:rFonts w:ascii="Gill Sans MT" w:hAnsi="Gill Sans MT" w:cstheme="minorHAnsi"/>
          <w:sz w:val="24"/>
          <w:szCs w:val="24"/>
        </w:rPr>
        <w:t>n</w:t>
      </w:r>
      <w:r w:rsidRPr="00F462A9">
        <w:rPr>
          <w:rFonts w:ascii="Gill Sans MT" w:hAnsi="Gill Sans MT" w:cstheme="minorHAnsi"/>
          <w:sz w:val="24"/>
          <w:szCs w:val="24"/>
        </w:rPr>
        <w:t xml:space="preserve"> realizado talleres participativos y giras de campo. La visión es  impulsar una</w:t>
      </w:r>
      <w:r w:rsidR="006070C3">
        <w:rPr>
          <w:rFonts w:ascii="Gill Sans MT" w:hAnsi="Gill Sans MT" w:cstheme="minorHAnsi"/>
          <w:sz w:val="24"/>
          <w:szCs w:val="24"/>
        </w:rPr>
        <w:t xml:space="preserve"> gestión inclusiva</w:t>
      </w:r>
      <w:r w:rsidRPr="00F462A9">
        <w:rPr>
          <w:rFonts w:ascii="Gill Sans MT" w:hAnsi="Gill Sans MT" w:cstheme="minorHAnsi"/>
          <w:sz w:val="24"/>
          <w:szCs w:val="24"/>
        </w:rPr>
        <w:t xml:space="preserve"> en donde se involucren de manera  activa y propositiva  los  actores locales que intervienen en el territorio. Se busca armonizarán los procesos de producción y coexistencia de la población que vive en el ANP, con la protección y manejo sostenible de los recursos naturales.</w:t>
      </w:r>
      <w:r w:rsidRPr="00F462A9">
        <w:rPr>
          <w:rFonts w:ascii="Gill Sans MT" w:eastAsia="Calibri" w:hAnsi="Gill Sans MT" w:cstheme="minorHAnsi"/>
          <w:b/>
          <w:sz w:val="24"/>
          <w:szCs w:val="24"/>
        </w:rPr>
        <w:t xml:space="preserve"> </w:t>
      </w:r>
    </w:p>
    <w:p w:rsidR="00C9728F" w:rsidRDefault="00C9728F" w:rsidP="006F47D0">
      <w:pPr>
        <w:pStyle w:val="Prrafodelista"/>
        <w:jc w:val="both"/>
        <w:rPr>
          <w:rFonts w:ascii="Gill Sans MT" w:hAnsi="Gill Sans MT"/>
        </w:rPr>
      </w:pPr>
    </w:p>
    <w:p w:rsidR="00563279" w:rsidRPr="00CD5729" w:rsidRDefault="00563279" w:rsidP="00563279">
      <w:pPr>
        <w:spacing w:after="0"/>
        <w:jc w:val="both"/>
        <w:rPr>
          <w:rFonts w:ascii="Gill Sans MT" w:hAnsi="Gill Sans MT" w:cstheme="minorHAnsi"/>
          <w:b/>
          <w:color w:val="002060"/>
        </w:rPr>
      </w:pPr>
      <w:r w:rsidRPr="00CD5729">
        <w:rPr>
          <w:rFonts w:ascii="Gill Sans MT" w:hAnsi="Gill Sans MT" w:cstheme="minorHAnsi"/>
          <w:b/>
          <w:color w:val="002060"/>
        </w:rPr>
        <w:t>LOCALIZACIÓN DEL ANP</w:t>
      </w:r>
    </w:p>
    <w:p w:rsidR="00563279" w:rsidRDefault="00563279" w:rsidP="00563279">
      <w:pPr>
        <w:jc w:val="both"/>
        <w:rPr>
          <w:rFonts w:ascii="Gill Sans MT" w:hAnsi="Gill Sans MT" w:cstheme="minorHAnsi"/>
          <w:lang w:val="es-ES"/>
        </w:rPr>
      </w:pPr>
      <w:r w:rsidRPr="00CD5729">
        <w:rPr>
          <w:rFonts w:ascii="Gill Sans MT" w:hAnsi="Gill Sans MT" w:cstheme="minorHAnsi"/>
          <w:lang w:val="es-ES"/>
        </w:rPr>
        <w:t>Administrativamente el Área Natural, se ubica en la jurisdicción de San Matías y San Juan Opico en el departamento de La Libertad, como se describe a continuación:</w:t>
      </w:r>
    </w:p>
    <w:p w:rsidR="006070C3" w:rsidRDefault="006070C3" w:rsidP="00563279">
      <w:pPr>
        <w:jc w:val="both"/>
        <w:rPr>
          <w:rFonts w:ascii="Gill Sans MT" w:hAnsi="Gill Sans MT" w:cstheme="minorHAnsi"/>
          <w:lang w:val="es-ES"/>
        </w:rPr>
      </w:pPr>
    </w:p>
    <w:p w:rsidR="006070C3" w:rsidRPr="00CD5729" w:rsidRDefault="006070C3" w:rsidP="00563279">
      <w:pPr>
        <w:jc w:val="both"/>
        <w:rPr>
          <w:rFonts w:ascii="Gill Sans MT" w:hAnsi="Gill Sans MT" w:cstheme="minorHAnsi"/>
          <w:lang w:val="es-ES"/>
        </w:rPr>
      </w:pPr>
    </w:p>
    <w:tbl>
      <w:tblPr>
        <w:tblStyle w:val="Tabladecuadrcula6concolores-nfasis11"/>
        <w:tblW w:w="0" w:type="auto"/>
        <w:tblInd w:w="1101" w:type="dxa"/>
        <w:tblLook w:val="04A0"/>
      </w:tblPr>
      <w:tblGrid>
        <w:gridCol w:w="2126"/>
        <w:gridCol w:w="4536"/>
      </w:tblGrid>
      <w:tr w:rsidR="00563279" w:rsidRPr="00CD5729" w:rsidTr="007D357A">
        <w:trPr>
          <w:cnfStyle w:val="100000000000"/>
        </w:trPr>
        <w:tc>
          <w:tcPr>
            <w:cnfStyle w:val="001000000000"/>
            <w:tcW w:w="2126" w:type="dxa"/>
          </w:tcPr>
          <w:p w:rsidR="00563279" w:rsidRPr="00CD5729" w:rsidRDefault="00563279" w:rsidP="007D357A">
            <w:pPr>
              <w:rPr>
                <w:rFonts w:eastAsia="Times New Roman" w:cstheme="minorHAnsi"/>
                <w:color w:val="auto"/>
                <w:sz w:val="20"/>
                <w:szCs w:val="20"/>
                <w:lang w:eastAsia="es-SV"/>
              </w:rPr>
            </w:pPr>
            <w:r w:rsidRPr="00CD5729">
              <w:rPr>
                <w:rFonts w:eastAsia="Times New Roman" w:cstheme="minorHAnsi"/>
                <w:color w:val="auto"/>
                <w:sz w:val="20"/>
                <w:szCs w:val="20"/>
                <w:lang w:eastAsia="es-SV"/>
              </w:rPr>
              <w:lastRenderedPageBreak/>
              <w:t>Municipio</w:t>
            </w:r>
          </w:p>
        </w:tc>
        <w:tc>
          <w:tcPr>
            <w:tcW w:w="4536" w:type="dxa"/>
          </w:tcPr>
          <w:p w:rsidR="00563279" w:rsidRPr="00CD5729" w:rsidRDefault="00563279" w:rsidP="007D357A">
            <w:pPr>
              <w:cnfStyle w:val="100000000000"/>
              <w:rPr>
                <w:rFonts w:eastAsia="Times New Roman" w:cstheme="minorHAnsi"/>
                <w:color w:val="auto"/>
                <w:sz w:val="20"/>
                <w:szCs w:val="20"/>
                <w:lang w:eastAsia="es-SV"/>
              </w:rPr>
            </w:pPr>
            <w:r w:rsidRPr="00CD5729">
              <w:rPr>
                <w:rFonts w:eastAsia="Times New Roman" w:cstheme="minorHAnsi"/>
                <w:color w:val="auto"/>
                <w:sz w:val="20"/>
                <w:szCs w:val="20"/>
                <w:lang w:eastAsia="es-SV"/>
              </w:rPr>
              <w:t>Cantones</w:t>
            </w:r>
          </w:p>
        </w:tc>
      </w:tr>
      <w:tr w:rsidR="00563279" w:rsidRPr="00CD5729" w:rsidTr="007D357A">
        <w:trPr>
          <w:cnfStyle w:val="000000100000"/>
        </w:trPr>
        <w:tc>
          <w:tcPr>
            <w:cnfStyle w:val="001000000000"/>
            <w:tcW w:w="2126" w:type="dxa"/>
            <w:vMerge w:val="restart"/>
          </w:tcPr>
          <w:p w:rsidR="00563279" w:rsidRPr="00CD5729" w:rsidRDefault="00563279" w:rsidP="007D357A">
            <w:pPr>
              <w:rPr>
                <w:rFonts w:eastAsia="Times New Roman" w:cstheme="minorHAnsi"/>
                <w:color w:val="auto"/>
                <w:sz w:val="20"/>
                <w:szCs w:val="20"/>
                <w:lang w:eastAsia="es-SV"/>
              </w:rPr>
            </w:pPr>
            <w:r w:rsidRPr="00CD5729">
              <w:rPr>
                <w:rFonts w:eastAsia="Times New Roman" w:cstheme="minorHAnsi"/>
                <w:color w:val="auto"/>
                <w:sz w:val="20"/>
                <w:szCs w:val="20"/>
                <w:lang w:eastAsia="es-SV"/>
              </w:rPr>
              <w:t>San Juan Opico</w:t>
            </w:r>
          </w:p>
        </w:tc>
        <w:tc>
          <w:tcPr>
            <w:tcW w:w="4536" w:type="dxa"/>
          </w:tcPr>
          <w:p w:rsidR="00563279" w:rsidRPr="00CD5729" w:rsidRDefault="00563279" w:rsidP="007D357A">
            <w:pPr>
              <w:cnfStyle w:val="000000100000"/>
              <w:rPr>
                <w:rFonts w:eastAsia="Times New Roman" w:cstheme="minorHAnsi"/>
                <w:color w:val="auto"/>
                <w:sz w:val="20"/>
                <w:szCs w:val="20"/>
                <w:lang w:eastAsia="es-SV"/>
              </w:rPr>
            </w:pPr>
            <w:r w:rsidRPr="00CD5729">
              <w:rPr>
                <w:rFonts w:eastAsia="Times New Roman" w:cstheme="minorHAnsi"/>
                <w:color w:val="auto"/>
                <w:sz w:val="20"/>
                <w:szCs w:val="20"/>
                <w:lang w:eastAsia="es-SV"/>
              </w:rPr>
              <w:t>El Ángel Talcualuya / El Carmen</w:t>
            </w:r>
          </w:p>
        </w:tc>
      </w:tr>
      <w:tr w:rsidR="00563279" w:rsidRPr="00CD5729" w:rsidTr="007D357A">
        <w:tc>
          <w:tcPr>
            <w:cnfStyle w:val="001000000000"/>
            <w:tcW w:w="2126" w:type="dxa"/>
            <w:vMerge/>
          </w:tcPr>
          <w:p w:rsidR="00563279" w:rsidRPr="00CD5729" w:rsidRDefault="00563279" w:rsidP="007D357A">
            <w:pPr>
              <w:rPr>
                <w:rFonts w:eastAsia="Times New Roman" w:cstheme="minorHAnsi"/>
                <w:color w:val="auto"/>
                <w:sz w:val="20"/>
                <w:szCs w:val="20"/>
                <w:lang w:eastAsia="es-SV"/>
              </w:rPr>
            </w:pPr>
          </w:p>
        </w:tc>
        <w:tc>
          <w:tcPr>
            <w:tcW w:w="4536" w:type="dxa"/>
          </w:tcPr>
          <w:p w:rsidR="00563279" w:rsidRPr="00CD5729" w:rsidRDefault="00563279" w:rsidP="007D357A">
            <w:pPr>
              <w:cnfStyle w:val="000000000000"/>
              <w:rPr>
                <w:rFonts w:eastAsia="Times New Roman" w:cstheme="minorHAnsi"/>
                <w:color w:val="auto"/>
                <w:sz w:val="20"/>
                <w:szCs w:val="20"/>
                <w:lang w:eastAsia="es-SV"/>
              </w:rPr>
            </w:pPr>
            <w:r w:rsidRPr="00CD5729">
              <w:rPr>
                <w:rFonts w:eastAsia="Times New Roman" w:cstheme="minorHAnsi"/>
                <w:color w:val="auto"/>
                <w:sz w:val="20"/>
                <w:szCs w:val="20"/>
                <w:lang w:eastAsia="es-SV"/>
              </w:rPr>
              <w:t>Barranca Honda</w:t>
            </w:r>
          </w:p>
        </w:tc>
      </w:tr>
      <w:tr w:rsidR="00563279" w:rsidRPr="00CD5729" w:rsidTr="007D357A">
        <w:trPr>
          <w:cnfStyle w:val="000000100000"/>
        </w:trPr>
        <w:tc>
          <w:tcPr>
            <w:cnfStyle w:val="001000000000"/>
            <w:tcW w:w="2126" w:type="dxa"/>
            <w:vMerge/>
          </w:tcPr>
          <w:p w:rsidR="00563279" w:rsidRPr="00CD5729" w:rsidRDefault="00563279" w:rsidP="007D357A">
            <w:pPr>
              <w:rPr>
                <w:rFonts w:eastAsia="Times New Roman" w:cstheme="minorHAnsi"/>
                <w:color w:val="auto"/>
                <w:sz w:val="20"/>
                <w:szCs w:val="20"/>
                <w:lang w:eastAsia="es-SV"/>
              </w:rPr>
            </w:pPr>
          </w:p>
        </w:tc>
        <w:tc>
          <w:tcPr>
            <w:tcW w:w="4536" w:type="dxa"/>
          </w:tcPr>
          <w:p w:rsidR="00563279" w:rsidRPr="00CD5729" w:rsidRDefault="00563279" w:rsidP="007D357A">
            <w:pPr>
              <w:cnfStyle w:val="000000100000"/>
              <w:rPr>
                <w:rFonts w:eastAsia="Times New Roman" w:cstheme="minorHAnsi"/>
                <w:color w:val="auto"/>
                <w:sz w:val="20"/>
                <w:szCs w:val="20"/>
                <w:lang w:eastAsia="es-SV"/>
              </w:rPr>
            </w:pPr>
            <w:proofErr w:type="spellStart"/>
            <w:r w:rsidRPr="00CD5729">
              <w:rPr>
                <w:rFonts w:eastAsia="Times New Roman" w:cstheme="minorHAnsi"/>
                <w:color w:val="auto"/>
                <w:sz w:val="20"/>
                <w:szCs w:val="20"/>
                <w:lang w:eastAsia="es-SV"/>
              </w:rPr>
              <w:t>Tehuicho</w:t>
            </w:r>
            <w:proofErr w:type="spellEnd"/>
          </w:p>
        </w:tc>
      </w:tr>
      <w:tr w:rsidR="00563279" w:rsidRPr="00CD5729" w:rsidTr="007D357A">
        <w:tc>
          <w:tcPr>
            <w:cnfStyle w:val="001000000000"/>
            <w:tcW w:w="2126" w:type="dxa"/>
            <w:tcBorders>
              <w:bottom w:val="single" w:sz="4" w:space="0" w:color="auto"/>
            </w:tcBorders>
          </w:tcPr>
          <w:p w:rsidR="00563279" w:rsidRPr="00CD5729" w:rsidRDefault="00563279" w:rsidP="007D357A">
            <w:pPr>
              <w:rPr>
                <w:rFonts w:eastAsia="Times New Roman" w:cstheme="minorHAnsi"/>
                <w:color w:val="auto"/>
                <w:sz w:val="20"/>
                <w:szCs w:val="20"/>
                <w:lang w:eastAsia="es-SV"/>
              </w:rPr>
            </w:pPr>
            <w:r w:rsidRPr="00CD5729">
              <w:rPr>
                <w:rFonts w:eastAsia="Times New Roman" w:cstheme="minorHAnsi"/>
                <w:color w:val="auto"/>
                <w:sz w:val="20"/>
                <w:szCs w:val="20"/>
                <w:lang w:eastAsia="es-SV"/>
              </w:rPr>
              <w:t>San Matías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563279" w:rsidRPr="00CD5729" w:rsidRDefault="00563279" w:rsidP="007D357A">
            <w:pPr>
              <w:cnfStyle w:val="000000000000"/>
              <w:rPr>
                <w:rFonts w:eastAsia="Times New Roman" w:cstheme="minorHAnsi"/>
                <w:color w:val="auto"/>
                <w:sz w:val="20"/>
                <w:szCs w:val="20"/>
                <w:lang w:eastAsia="es-SV"/>
              </w:rPr>
            </w:pPr>
            <w:r w:rsidRPr="00CD5729">
              <w:rPr>
                <w:rFonts w:eastAsia="Times New Roman" w:cstheme="minorHAnsi"/>
                <w:color w:val="auto"/>
                <w:sz w:val="20"/>
                <w:szCs w:val="20"/>
                <w:lang w:eastAsia="es-SV"/>
              </w:rPr>
              <w:t>La Puebla</w:t>
            </w:r>
          </w:p>
        </w:tc>
      </w:tr>
    </w:tbl>
    <w:p w:rsidR="00563279" w:rsidRDefault="00563279" w:rsidP="00563279">
      <w:pPr>
        <w:jc w:val="both"/>
        <w:rPr>
          <w:rFonts w:ascii="Gill Sans MT" w:hAnsi="Gill Sans MT"/>
          <w:sz w:val="24"/>
          <w:szCs w:val="24"/>
        </w:rPr>
      </w:pPr>
    </w:p>
    <w:p w:rsidR="002B22AB" w:rsidRDefault="002B22AB" w:rsidP="00A36FB5">
      <w:pPr>
        <w:spacing w:line="240" w:lineRule="auto"/>
        <w:rPr>
          <w:b/>
          <w:i/>
          <w:sz w:val="28"/>
          <w:szCs w:val="28"/>
        </w:rPr>
      </w:pPr>
      <w:r w:rsidRPr="002B22AB">
        <w:rPr>
          <w:b/>
          <w:i/>
          <w:noProof/>
          <w:sz w:val="28"/>
          <w:szCs w:val="28"/>
          <w:lang w:eastAsia="es-SV"/>
        </w:rPr>
        <w:drawing>
          <wp:inline distT="0" distB="0" distL="0" distR="0">
            <wp:extent cx="5042677" cy="3599028"/>
            <wp:effectExtent l="57150" t="38100" r="43673" b="20472"/>
            <wp:docPr id="2" name="Imagen 1" descr="C:\Users\nceron\AppData\Local\Microsoft\Windows\Temporary Internet Files\Content.Outlook\Z6WSR2J2\talcualhuya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ceron\AppData\Local\Microsoft\Windows\Temporary Internet Files\Content.Outlook\Z6WSR2J2\talcualhuya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355" cy="360593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bg2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5913" w:rsidRDefault="004A22B7" w:rsidP="00E93C1D">
      <w:pPr>
        <w:spacing w:line="240" w:lineRule="auto"/>
        <w:jc w:val="center"/>
        <w:rPr>
          <w:i/>
          <w:sz w:val="18"/>
          <w:szCs w:val="18"/>
        </w:rPr>
      </w:pPr>
      <w:r w:rsidRPr="00E34812">
        <w:rPr>
          <w:i/>
          <w:sz w:val="18"/>
          <w:szCs w:val="18"/>
        </w:rPr>
        <w:t xml:space="preserve">Fig. 1. </w:t>
      </w:r>
      <w:r w:rsidR="00F9062D" w:rsidRPr="00E34812">
        <w:rPr>
          <w:i/>
          <w:sz w:val="18"/>
          <w:szCs w:val="18"/>
        </w:rPr>
        <w:t xml:space="preserve">Mapa geopolítico del Área  Natural Protegida </w:t>
      </w:r>
      <w:proofErr w:type="spellStart"/>
      <w:r w:rsidR="00F9062D" w:rsidRPr="00E34812">
        <w:rPr>
          <w:i/>
          <w:sz w:val="18"/>
          <w:szCs w:val="18"/>
        </w:rPr>
        <w:t>Talcualhuya</w:t>
      </w:r>
      <w:proofErr w:type="spellEnd"/>
    </w:p>
    <w:p w:rsidR="008A4869" w:rsidRPr="00CD5729" w:rsidRDefault="008A4869" w:rsidP="008A4869">
      <w:pPr>
        <w:autoSpaceDE w:val="0"/>
        <w:autoSpaceDN w:val="0"/>
        <w:adjustRightInd w:val="0"/>
        <w:spacing w:after="0" w:line="240" w:lineRule="auto"/>
        <w:jc w:val="both"/>
        <w:rPr>
          <w:rFonts w:ascii="Gill Sans MT" w:hAnsi="Gill Sans MT" w:cstheme="minorHAnsi"/>
          <w:b/>
          <w:bCs/>
          <w:color w:val="002060"/>
        </w:rPr>
      </w:pPr>
      <w:r w:rsidRPr="00CD5729">
        <w:rPr>
          <w:rFonts w:ascii="Gill Sans MT" w:hAnsi="Gill Sans MT" w:cstheme="minorHAnsi"/>
          <w:b/>
          <w:bCs/>
          <w:color w:val="002060"/>
        </w:rPr>
        <w:t>ECOSISTEMA</w:t>
      </w:r>
    </w:p>
    <w:p w:rsidR="008A4869" w:rsidRPr="00CD5729" w:rsidRDefault="008A4869" w:rsidP="008A4869">
      <w:pPr>
        <w:spacing w:after="0"/>
        <w:jc w:val="both"/>
        <w:rPr>
          <w:rFonts w:ascii="Gill Sans MT" w:hAnsi="Gill Sans MT" w:cstheme="minorHAnsi"/>
          <w:lang w:val="es-ES"/>
        </w:rPr>
      </w:pPr>
      <w:r w:rsidRPr="00CD5729">
        <w:rPr>
          <w:rFonts w:ascii="Gill Sans MT" w:hAnsi="Gill Sans MT" w:cstheme="minorHAnsi"/>
        </w:rPr>
        <w:t xml:space="preserve">Posee relicto de </w:t>
      </w:r>
      <w:r w:rsidRPr="00CD5729">
        <w:rPr>
          <w:rFonts w:ascii="Gill Sans MT" w:hAnsi="Gill Sans MT" w:cstheme="minorHAnsi"/>
          <w:lang w:val="es-ES"/>
        </w:rPr>
        <w:t xml:space="preserve">bosque </w:t>
      </w:r>
      <w:proofErr w:type="spellStart"/>
      <w:r w:rsidRPr="00CD5729">
        <w:rPr>
          <w:rFonts w:ascii="Gill Sans MT" w:hAnsi="Gill Sans MT" w:cstheme="minorHAnsi"/>
          <w:lang w:val="es-ES"/>
        </w:rPr>
        <w:t>subcaducifolio</w:t>
      </w:r>
      <w:proofErr w:type="spellEnd"/>
      <w:r w:rsidRPr="00CD5729">
        <w:rPr>
          <w:rFonts w:ascii="Gill Sans MT" w:hAnsi="Gill Sans MT" w:cstheme="minorHAnsi"/>
          <w:lang w:val="es-ES"/>
        </w:rPr>
        <w:t xml:space="preserve"> y caducifolio, en una serie de colinas suaves y alargadas de pendientes llanas, con especies arbóreas de “ceiba” (</w:t>
      </w:r>
      <w:r w:rsidRPr="00CD5729">
        <w:rPr>
          <w:rFonts w:ascii="Gill Sans MT" w:hAnsi="Gill Sans MT" w:cstheme="minorHAnsi"/>
          <w:i/>
          <w:lang w:val="es-ES"/>
        </w:rPr>
        <w:t xml:space="preserve">Ceiba </w:t>
      </w:r>
      <w:proofErr w:type="spellStart"/>
      <w:r w:rsidRPr="00CD5729">
        <w:rPr>
          <w:rFonts w:ascii="Gill Sans MT" w:hAnsi="Gill Sans MT" w:cstheme="minorHAnsi"/>
          <w:i/>
          <w:lang w:val="es-ES"/>
        </w:rPr>
        <w:t>pentandra</w:t>
      </w:r>
      <w:proofErr w:type="spellEnd"/>
      <w:r w:rsidRPr="00CD5729">
        <w:rPr>
          <w:rFonts w:ascii="Gill Sans MT" w:hAnsi="Gill Sans MT" w:cstheme="minorHAnsi"/>
          <w:lang w:val="es-ES"/>
        </w:rPr>
        <w:t>), “</w:t>
      </w:r>
      <w:proofErr w:type="spellStart"/>
      <w:r w:rsidRPr="00CD5729">
        <w:rPr>
          <w:rFonts w:ascii="Gill Sans MT" w:hAnsi="Gill Sans MT" w:cstheme="minorHAnsi"/>
          <w:lang w:val="es-ES"/>
        </w:rPr>
        <w:t>maquilishuat</w:t>
      </w:r>
      <w:proofErr w:type="spellEnd"/>
      <w:r w:rsidRPr="00CD5729">
        <w:rPr>
          <w:rFonts w:ascii="Gill Sans MT" w:hAnsi="Gill Sans MT" w:cstheme="minorHAnsi"/>
          <w:lang w:val="es-ES"/>
        </w:rPr>
        <w:t>” (</w:t>
      </w:r>
      <w:proofErr w:type="spellStart"/>
      <w:r w:rsidRPr="00CD5729">
        <w:rPr>
          <w:rFonts w:ascii="Gill Sans MT" w:hAnsi="Gill Sans MT" w:cstheme="minorHAnsi"/>
          <w:i/>
          <w:lang w:val="es-ES"/>
        </w:rPr>
        <w:t>Tabebuia</w:t>
      </w:r>
      <w:proofErr w:type="spellEnd"/>
      <w:r w:rsidRPr="00CD5729">
        <w:rPr>
          <w:rFonts w:ascii="Gill Sans MT" w:hAnsi="Gill Sans MT" w:cstheme="minorHAnsi"/>
          <w:i/>
          <w:lang w:val="es-ES"/>
        </w:rPr>
        <w:t xml:space="preserve"> rosea</w:t>
      </w:r>
      <w:r w:rsidRPr="00CD5729">
        <w:rPr>
          <w:rFonts w:ascii="Gill Sans MT" w:hAnsi="Gill Sans MT" w:cstheme="minorHAnsi"/>
          <w:lang w:val="es-ES"/>
        </w:rPr>
        <w:t>), “laurel” (</w:t>
      </w:r>
      <w:proofErr w:type="spellStart"/>
      <w:r w:rsidRPr="00CD5729">
        <w:rPr>
          <w:rFonts w:ascii="Gill Sans MT" w:hAnsi="Gill Sans MT" w:cstheme="minorHAnsi"/>
          <w:i/>
          <w:lang w:val="es-ES"/>
        </w:rPr>
        <w:t>Cordia</w:t>
      </w:r>
      <w:proofErr w:type="spellEnd"/>
      <w:r w:rsidRPr="00CD5729">
        <w:rPr>
          <w:rFonts w:ascii="Gill Sans MT" w:hAnsi="Gill Sans MT" w:cstheme="minorHAnsi"/>
          <w:i/>
          <w:lang w:val="es-ES"/>
        </w:rPr>
        <w:t xml:space="preserve"> </w:t>
      </w:r>
      <w:proofErr w:type="spellStart"/>
      <w:r w:rsidRPr="00CD5729">
        <w:rPr>
          <w:rFonts w:ascii="Gill Sans MT" w:hAnsi="Gill Sans MT" w:cstheme="minorHAnsi"/>
          <w:i/>
          <w:lang w:val="es-ES"/>
        </w:rPr>
        <w:t>alliodora</w:t>
      </w:r>
      <w:proofErr w:type="spellEnd"/>
      <w:r w:rsidRPr="00CD5729">
        <w:rPr>
          <w:rFonts w:ascii="Gill Sans MT" w:hAnsi="Gill Sans MT" w:cstheme="minorHAnsi"/>
          <w:lang w:val="es-ES"/>
        </w:rPr>
        <w:t>), “conacaste” (</w:t>
      </w:r>
      <w:proofErr w:type="spellStart"/>
      <w:r w:rsidRPr="00CD5729">
        <w:rPr>
          <w:rFonts w:ascii="Gill Sans MT" w:hAnsi="Gill Sans MT" w:cstheme="minorHAnsi"/>
          <w:i/>
          <w:lang w:val="es-ES"/>
        </w:rPr>
        <w:t>Enterolobium</w:t>
      </w:r>
      <w:proofErr w:type="spellEnd"/>
      <w:r w:rsidRPr="00CD5729">
        <w:rPr>
          <w:rFonts w:ascii="Gill Sans MT" w:hAnsi="Gill Sans MT" w:cstheme="minorHAnsi"/>
          <w:i/>
          <w:lang w:val="es-ES"/>
        </w:rPr>
        <w:t xml:space="preserve"> </w:t>
      </w:r>
      <w:proofErr w:type="spellStart"/>
      <w:r w:rsidRPr="00CD5729">
        <w:rPr>
          <w:rFonts w:ascii="Gill Sans MT" w:hAnsi="Gill Sans MT" w:cstheme="minorHAnsi"/>
          <w:i/>
          <w:lang w:val="es-ES"/>
        </w:rPr>
        <w:t>cyclocarpum</w:t>
      </w:r>
      <w:proofErr w:type="spellEnd"/>
      <w:r w:rsidRPr="00CD5729">
        <w:rPr>
          <w:rFonts w:ascii="Gill Sans MT" w:hAnsi="Gill Sans MT" w:cstheme="minorHAnsi"/>
          <w:lang w:val="es-ES"/>
        </w:rPr>
        <w:t>). El área también presenta remanentes de bosque de galería, en donde se observan especies características de estos ecosistemas tales como “</w:t>
      </w:r>
      <w:r w:rsidRPr="00CD5729">
        <w:rPr>
          <w:rFonts w:ascii="Gill Sans MT" w:hAnsi="Gill Sans MT" w:cstheme="minorHAnsi"/>
        </w:rPr>
        <w:t>Conacaste”, “</w:t>
      </w:r>
      <w:proofErr w:type="spellStart"/>
      <w:r w:rsidRPr="00CD5729">
        <w:rPr>
          <w:rFonts w:ascii="Gill Sans MT" w:hAnsi="Gill Sans MT" w:cstheme="minorHAnsi"/>
        </w:rPr>
        <w:t>Ujushtes</w:t>
      </w:r>
      <w:proofErr w:type="spellEnd"/>
      <w:r w:rsidRPr="00CD5729">
        <w:rPr>
          <w:rFonts w:ascii="Gill Sans MT" w:hAnsi="Gill Sans MT" w:cstheme="minorHAnsi"/>
        </w:rPr>
        <w:t>”, “Amates”, “Almendro de río”, “</w:t>
      </w:r>
      <w:proofErr w:type="spellStart"/>
      <w:r w:rsidRPr="00CD5729">
        <w:rPr>
          <w:rFonts w:ascii="Gill Sans MT" w:hAnsi="Gill Sans MT" w:cstheme="minorHAnsi"/>
        </w:rPr>
        <w:t>Chilamate</w:t>
      </w:r>
      <w:proofErr w:type="spellEnd"/>
      <w:r w:rsidRPr="00CD5729">
        <w:rPr>
          <w:rFonts w:ascii="Gill Sans MT" w:hAnsi="Gill Sans MT" w:cstheme="minorHAnsi"/>
        </w:rPr>
        <w:t xml:space="preserve">”, que sirven de hábitat a la fauna silvestre que viven en el área. </w:t>
      </w:r>
    </w:p>
    <w:p w:rsidR="00075913" w:rsidRPr="00CD5729" w:rsidRDefault="00075913" w:rsidP="00E34812">
      <w:pPr>
        <w:spacing w:line="240" w:lineRule="auto"/>
        <w:jc w:val="center"/>
        <w:rPr>
          <w:rFonts w:ascii="Gill Sans MT" w:hAnsi="Gill Sans MT"/>
          <w:i/>
          <w:sz w:val="18"/>
          <w:szCs w:val="18"/>
          <w:lang w:val="es-ES"/>
        </w:rPr>
      </w:pPr>
    </w:p>
    <w:p w:rsidR="00DD071B" w:rsidRPr="00BF1D42" w:rsidRDefault="00DD071B" w:rsidP="00DD071B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EB3E8E">
        <w:rPr>
          <w:rFonts w:asciiTheme="minorHAnsi" w:hAnsiTheme="minorHAnsi" w:cstheme="minorHAnsi"/>
          <w:color w:val="auto"/>
          <w:sz w:val="22"/>
          <w:szCs w:val="22"/>
          <w:lang w:val="es-ES"/>
        </w:rPr>
        <w:t>Dentro de las especies de fauna silvestre que se reportan para el área se tienen avistamientos de: “cuatro ojos” (</w:t>
      </w:r>
      <w:proofErr w:type="spellStart"/>
      <w:r w:rsidRPr="00EB3E8E">
        <w:rPr>
          <w:rFonts w:asciiTheme="minorHAnsi" w:hAnsiTheme="minorHAnsi" w:cstheme="minorHAnsi"/>
          <w:i/>
          <w:color w:val="auto"/>
          <w:sz w:val="22"/>
          <w:szCs w:val="22"/>
          <w:lang w:val="es-ES"/>
        </w:rPr>
        <w:t>Metachirops</w:t>
      </w:r>
      <w:proofErr w:type="spellEnd"/>
      <w:r w:rsidRPr="00EB3E8E">
        <w:rPr>
          <w:rFonts w:asciiTheme="minorHAnsi" w:hAnsiTheme="minorHAnsi" w:cstheme="minorHAnsi"/>
          <w:i/>
          <w:color w:val="auto"/>
          <w:sz w:val="22"/>
          <w:szCs w:val="22"/>
          <w:lang w:val="es-ES"/>
        </w:rPr>
        <w:t xml:space="preserve"> </w:t>
      </w:r>
      <w:proofErr w:type="spellStart"/>
      <w:r w:rsidRPr="00EB3E8E">
        <w:rPr>
          <w:rFonts w:asciiTheme="minorHAnsi" w:hAnsiTheme="minorHAnsi" w:cstheme="minorHAnsi"/>
          <w:i/>
          <w:color w:val="auto"/>
          <w:sz w:val="22"/>
          <w:szCs w:val="22"/>
          <w:lang w:val="es-ES"/>
        </w:rPr>
        <w:t>opossum</w:t>
      </w:r>
      <w:proofErr w:type="spellEnd"/>
      <w:r w:rsidRPr="00EB3E8E">
        <w:rPr>
          <w:rFonts w:asciiTheme="minorHAnsi" w:hAnsiTheme="minorHAnsi" w:cstheme="minorHAnsi"/>
          <w:color w:val="auto"/>
          <w:sz w:val="22"/>
          <w:szCs w:val="22"/>
          <w:lang w:val="es-ES"/>
        </w:rPr>
        <w:t>), “</w:t>
      </w:r>
      <w:proofErr w:type="spellStart"/>
      <w:r w:rsidRPr="00EB3E8E">
        <w:rPr>
          <w:rFonts w:asciiTheme="minorHAnsi" w:hAnsiTheme="minorHAnsi" w:cstheme="minorHAnsi"/>
          <w:color w:val="auto"/>
          <w:sz w:val="22"/>
          <w:szCs w:val="22"/>
          <w:lang w:val="es-ES"/>
        </w:rPr>
        <w:t>cuzuco</w:t>
      </w:r>
      <w:proofErr w:type="spellEnd"/>
      <w:r w:rsidRPr="00EB3E8E">
        <w:rPr>
          <w:rFonts w:asciiTheme="minorHAnsi" w:hAnsiTheme="minorHAnsi" w:cstheme="minorHAnsi"/>
          <w:color w:val="auto"/>
          <w:sz w:val="22"/>
          <w:szCs w:val="22"/>
          <w:lang w:val="es-ES"/>
        </w:rPr>
        <w:t>” (</w:t>
      </w:r>
      <w:proofErr w:type="spellStart"/>
      <w:r w:rsidRPr="00EB3E8E">
        <w:rPr>
          <w:rFonts w:asciiTheme="minorHAnsi" w:hAnsiTheme="minorHAnsi" w:cstheme="minorHAnsi"/>
          <w:i/>
          <w:color w:val="auto"/>
          <w:sz w:val="22"/>
          <w:szCs w:val="22"/>
          <w:lang w:val="es-ES"/>
        </w:rPr>
        <w:t>Dasypus</w:t>
      </w:r>
      <w:proofErr w:type="spellEnd"/>
      <w:r w:rsidRPr="00EB3E8E">
        <w:rPr>
          <w:rFonts w:asciiTheme="minorHAnsi" w:hAnsiTheme="minorHAnsi" w:cstheme="minorHAnsi"/>
          <w:i/>
          <w:color w:val="auto"/>
          <w:sz w:val="22"/>
          <w:szCs w:val="22"/>
          <w:lang w:val="es-ES"/>
        </w:rPr>
        <w:t xml:space="preserve"> </w:t>
      </w:r>
      <w:proofErr w:type="spellStart"/>
      <w:r w:rsidRPr="00EB3E8E">
        <w:rPr>
          <w:rFonts w:asciiTheme="minorHAnsi" w:hAnsiTheme="minorHAnsi" w:cstheme="minorHAnsi"/>
          <w:i/>
          <w:color w:val="auto"/>
          <w:sz w:val="22"/>
          <w:szCs w:val="22"/>
          <w:lang w:val="es-ES"/>
        </w:rPr>
        <w:t>novemcinctus</w:t>
      </w:r>
      <w:proofErr w:type="spellEnd"/>
      <w:r w:rsidRPr="00EB3E8E">
        <w:rPr>
          <w:rFonts w:asciiTheme="minorHAnsi" w:hAnsiTheme="minorHAnsi" w:cstheme="minorHAnsi"/>
          <w:color w:val="auto"/>
          <w:sz w:val="22"/>
          <w:szCs w:val="22"/>
          <w:lang w:val="es-ES"/>
        </w:rPr>
        <w:t>), “mapache” (</w:t>
      </w:r>
      <w:proofErr w:type="spellStart"/>
      <w:r w:rsidRPr="00EB3E8E">
        <w:rPr>
          <w:rFonts w:asciiTheme="minorHAnsi" w:hAnsiTheme="minorHAnsi" w:cstheme="minorHAnsi"/>
          <w:i/>
          <w:color w:val="auto"/>
          <w:sz w:val="22"/>
          <w:szCs w:val="22"/>
          <w:lang w:val="es-ES"/>
        </w:rPr>
        <w:t>Procyon</w:t>
      </w:r>
      <w:proofErr w:type="spellEnd"/>
      <w:r w:rsidRPr="00EB3E8E">
        <w:rPr>
          <w:rFonts w:asciiTheme="minorHAnsi" w:hAnsiTheme="minorHAnsi" w:cstheme="minorHAnsi"/>
          <w:i/>
          <w:color w:val="auto"/>
          <w:sz w:val="22"/>
          <w:szCs w:val="22"/>
          <w:lang w:val="es-ES"/>
        </w:rPr>
        <w:t xml:space="preserve"> </w:t>
      </w:r>
      <w:proofErr w:type="spellStart"/>
      <w:r w:rsidRPr="00EB3E8E">
        <w:rPr>
          <w:rFonts w:asciiTheme="minorHAnsi" w:hAnsiTheme="minorHAnsi" w:cstheme="minorHAnsi"/>
          <w:i/>
          <w:color w:val="auto"/>
          <w:sz w:val="22"/>
          <w:szCs w:val="22"/>
          <w:lang w:val="es-ES"/>
        </w:rPr>
        <w:t>lotor</w:t>
      </w:r>
      <w:proofErr w:type="spellEnd"/>
      <w:r w:rsidRPr="00EB3E8E"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), “venado cola blanca” </w:t>
      </w:r>
      <w:proofErr w:type="gramStart"/>
      <w:r w:rsidRPr="00EB3E8E"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( </w:t>
      </w:r>
      <w:proofErr w:type="spellStart"/>
      <w:r w:rsidRPr="00EB3E8E">
        <w:rPr>
          <w:rFonts w:asciiTheme="minorHAnsi" w:hAnsiTheme="minorHAnsi" w:cstheme="minorHAnsi"/>
          <w:i/>
          <w:iCs/>
          <w:color w:val="auto"/>
          <w:sz w:val="22"/>
          <w:szCs w:val="22"/>
        </w:rPr>
        <w:t>Odocoileus</w:t>
      </w:r>
      <w:proofErr w:type="spellEnd"/>
      <w:proofErr w:type="gramEnd"/>
      <w:r w:rsidRPr="00EB3E8E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 w:rsidRPr="00EB3E8E">
        <w:rPr>
          <w:rFonts w:asciiTheme="minorHAnsi" w:hAnsiTheme="minorHAnsi" w:cstheme="minorHAnsi"/>
          <w:i/>
          <w:iCs/>
          <w:color w:val="auto"/>
          <w:sz w:val="22"/>
          <w:szCs w:val="22"/>
        </w:rPr>
        <w:t>virginianus</w:t>
      </w:r>
      <w:proofErr w:type="spellEnd"/>
      <w:r w:rsidRPr="00EB3E8E">
        <w:rPr>
          <w:rFonts w:asciiTheme="minorHAnsi" w:hAnsiTheme="minorHAnsi" w:cstheme="minorHAnsi"/>
          <w:i/>
          <w:iCs/>
          <w:color w:val="auto"/>
          <w:sz w:val="22"/>
          <w:szCs w:val="22"/>
        </w:rPr>
        <w:t>)</w:t>
      </w:r>
      <w:r w:rsidRPr="00EB3E8E">
        <w:rPr>
          <w:rFonts w:asciiTheme="minorHAnsi" w:hAnsiTheme="minorHAnsi" w:cstheme="minorHAnsi"/>
          <w:color w:val="auto"/>
          <w:sz w:val="22"/>
          <w:szCs w:val="22"/>
          <w:lang w:val="es-ES"/>
        </w:rPr>
        <w:t>, concejo silvestre (</w:t>
      </w:r>
      <w:proofErr w:type="spellStart"/>
      <w:r w:rsidRPr="00EB3E8E">
        <w:rPr>
          <w:rFonts w:asciiTheme="minorHAnsi" w:hAnsiTheme="minorHAnsi" w:cstheme="minorHAnsi"/>
          <w:i/>
          <w:iCs/>
          <w:color w:val="auto"/>
          <w:sz w:val="22"/>
          <w:szCs w:val="22"/>
        </w:rPr>
        <w:t>Sylvilagus</w:t>
      </w:r>
      <w:proofErr w:type="spellEnd"/>
      <w:r w:rsidRPr="00EB3E8E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proofErr w:type="spellStart"/>
      <w:r w:rsidRPr="00EB3E8E">
        <w:rPr>
          <w:rFonts w:asciiTheme="minorHAnsi" w:hAnsiTheme="minorHAnsi" w:cstheme="minorHAnsi"/>
          <w:i/>
          <w:iCs/>
          <w:color w:val="auto"/>
          <w:sz w:val="22"/>
          <w:szCs w:val="22"/>
        </w:rPr>
        <w:t>floridanus</w:t>
      </w:r>
      <w:proofErr w:type="spellEnd"/>
      <w:r w:rsidRPr="00EB3E8E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), </w:t>
      </w:r>
      <w:r w:rsidRPr="00EB3E8E">
        <w:rPr>
          <w:rFonts w:asciiTheme="minorHAnsi" w:hAnsiTheme="minorHAnsi" w:cstheme="minorHAnsi"/>
          <w:color w:val="auto"/>
          <w:sz w:val="22"/>
          <w:szCs w:val="22"/>
          <w:lang w:val="es-ES"/>
        </w:rPr>
        <w:t>entre otros, así como aves y reptiles. El área está rodeada de sistemas productivos, granos básicos y ganadería; así como matorrales y vegetación arbustiva.</w:t>
      </w:r>
      <w:r w:rsidRPr="00BF1D42">
        <w:rPr>
          <w:rFonts w:asciiTheme="minorHAnsi" w:hAnsiTheme="minorHAnsi" w:cstheme="minorHAnsi"/>
          <w:color w:val="auto"/>
          <w:sz w:val="22"/>
          <w:szCs w:val="22"/>
          <w:lang w:val="es-ES"/>
        </w:rPr>
        <w:t xml:space="preserve"> </w:t>
      </w:r>
    </w:p>
    <w:p w:rsidR="00075913" w:rsidRPr="00CD5729" w:rsidRDefault="00075913" w:rsidP="00E34812">
      <w:pPr>
        <w:spacing w:line="240" w:lineRule="auto"/>
        <w:jc w:val="center"/>
        <w:rPr>
          <w:rFonts w:ascii="Gill Sans MT" w:hAnsi="Gill Sans MT"/>
          <w:i/>
          <w:sz w:val="18"/>
          <w:szCs w:val="18"/>
        </w:rPr>
      </w:pPr>
    </w:p>
    <w:sectPr w:rsidR="00075913" w:rsidRPr="00CD5729" w:rsidSect="00A36FB5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A0F" w:rsidRDefault="00797A0F" w:rsidP="009D66FA">
      <w:pPr>
        <w:spacing w:after="0" w:line="240" w:lineRule="auto"/>
      </w:pPr>
      <w:r>
        <w:separator/>
      </w:r>
    </w:p>
  </w:endnote>
  <w:endnote w:type="continuationSeparator" w:id="0">
    <w:p w:rsidR="00797A0F" w:rsidRDefault="00797A0F" w:rsidP="009D6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A0F" w:rsidRDefault="00797A0F" w:rsidP="009D66FA">
      <w:pPr>
        <w:spacing w:after="0" w:line="240" w:lineRule="auto"/>
      </w:pPr>
      <w:r>
        <w:separator/>
      </w:r>
    </w:p>
  </w:footnote>
  <w:footnote w:type="continuationSeparator" w:id="0">
    <w:p w:rsidR="00797A0F" w:rsidRDefault="00797A0F" w:rsidP="009D6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FB5" w:rsidRPr="00970B9B" w:rsidRDefault="00A36FB5" w:rsidP="00A36FB5">
    <w:pPr>
      <w:spacing w:after="0" w:line="240" w:lineRule="auto"/>
      <w:jc w:val="center"/>
      <w:rPr>
        <w:i/>
      </w:rPr>
    </w:pPr>
    <w:r w:rsidRPr="00970B9B">
      <w:rPr>
        <w:rFonts w:eastAsia="MS Mincho" w:cs="Times New Roman"/>
        <w:noProof/>
        <w:lang w:eastAsia="es-SV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4768575</wp:posOffset>
          </wp:positionH>
          <wp:positionV relativeFrom="paragraph">
            <wp:posOffset>-415074</wp:posOffset>
          </wp:positionV>
          <wp:extent cx="1950860" cy="923026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RN 2015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5102" cy="9250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70B9B">
      <w:rPr>
        <w:i/>
      </w:rPr>
      <w:t>DIRECCIÓN GENERAL DE ECOSISTEMAS Y VIDA  SILVESTRE</w:t>
    </w:r>
  </w:p>
  <w:p w:rsidR="00A36FB5" w:rsidRPr="00970B9B" w:rsidRDefault="00A36FB5" w:rsidP="00A36FB5">
    <w:pPr>
      <w:spacing w:after="0" w:line="240" w:lineRule="auto"/>
      <w:jc w:val="center"/>
      <w:rPr>
        <w:i/>
      </w:rPr>
    </w:pPr>
    <w:r w:rsidRPr="00970B9B">
      <w:rPr>
        <w:i/>
      </w:rPr>
      <w:t>GERENCIA DE ÁREAS NATURALES PROTEGIDAS Y CORREDOR BIOLÓGICO</w:t>
    </w:r>
  </w:p>
  <w:p w:rsidR="0030345B" w:rsidRPr="00A36FB5" w:rsidRDefault="0030345B" w:rsidP="00A36FB5">
    <w:pPr>
      <w:spacing w:after="0" w:line="240" w:lineRule="auto"/>
      <w:jc w:val="center"/>
      <w:rPr>
        <w:i/>
      </w:rPr>
    </w:pPr>
    <w:r>
      <w:rPr>
        <w:noProof/>
        <w:lang w:eastAsia="es-SV"/>
      </w:rPr>
      <w:drawing>
        <wp:inline distT="0" distB="0" distL="0" distR="0">
          <wp:extent cx="5612130" cy="45075"/>
          <wp:effectExtent l="0" t="0" r="0" b="0"/>
          <wp:docPr id="3" name="Imagen 3" descr="barra_colores_intern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barra_colores_interna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45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D66FA" w:rsidRPr="00A36FB5" w:rsidRDefault="009D66FA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4579C4"/>
    <w:multiLevelType w:val="hybridMultilevel"/>
    <w:tmpl w:val="2FC4E260"/>
    <w:lvl w:ilvl="0" w:tplc="4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6B4068"/>
    <w:multiLevelType w:val="hybridMultilevel"/>
    <w:tmpl w:val="30CC8238"/>
    <w:lvl w:ilvl="0" w:tplc="4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66FA"/>
    <w:rsid w:val="00055A2E"/>
    <w:rsid w:val="00060B8E"/>
    <w:rsid w:val="00075913"/>
    <w:rsid w:val="000D0FA7"/>
    <w:rsid w:val="00124D2D"/>
    <w:rsid w:val="001454BA"/>
    <w:rsid w:val="00177264"/>
    <w:rsid w:val="001B2FAC"/>
    <w:rsid w:val="001E7842"/>
    <w:rsid w:val="00276CBD"/>
    <w:rsid w:val="002B22AB"/>
    <w:rsid w:val="002B3A5D"/>
    <w:rsid w:val="002F4493"/>
    <w:rsid w:val="0030345B"/>
    <w:rsid w:val="003078F2"/>
    <w:rsid w:val="003264F4"/>
    <w:rsid w:val="00356091"/>
    <w:rsid w:val="003D1E4A"/>
    <w:rsid w:val="00422D43"/>
    <w:rsid w:val="00424625"/>
    <w:rsid w:val="00451505"/>
    <w:rsid w:val="0049197B"/>
    <w:rsid w:val="004A22B7"/>
    <w:rsid w:val="004C4FF1"/>
    <w:rsid w:val="00530637"/>
    <w:rsid w:val="00563279"/>
    <w:rsid w:val="00565415"/>
    <w:rsid w:val="006070C3"/>
    <w:rsid w:val="00620063"/>
    <w:rsid w:val="00681A2C"/>
    <w:rsid w:val="006955BD"/>
    <w:rsid w:val="006B52FB"/>
    <w:rsid w:val="006D7BCC"/>
    <w:rsid w:val="006E39CC"/>
    <w:rsid w:val="006F47D0"/>
    <w:rsid w:val="007170E9"/>
    <w:rsid w:val="00797A0F"/>
    <w:rsid w:val="00837D35"/>
    <w:rsid w:val="008511B2"/>
    <w:rsid w:val="008A4869"/>
    <w:rsid w:val="008D649A"/>
    <w:rsid w:val="008F1BAB"/>
    <w:rsid w:val="009165B2"/>
    <w:rsid w:val="00925811"/>
    <w:rsid w:val="00970B9B"/>
    <w:rsid w:val="00985662"/>
    <w:rsid w:val="009D66FA"/>
    <w:rsid w:val="00A1361D"/>
    <w:rsid w:val="00A16DEC"/>
    <w:rsid w:val="00A36FB5"/>
    <w:rsid w:val="00A4029E"/>
    <w:rsid w:val="00A715B7"/>
    <w:rsid w:val="00A97EF8"/>
    <w:rsid w:val="00B00A78"/>
    <w:rsid w:val="00B26BFD"/>
    <w:rsid w:val="00B318CF"/>
    <w:rsid w:val="00BA0AA9"/>
    <w:rsid w:val="00BB6E1E"/>
    <w:rsid w:val="00BF2057"/>
    <w:rsid w:val="00C36D12"/>
    <w:rsid w:val="00C61105"/>
    <w:rsid w:val="00C9728F"/>
    <w:rsid w:val="00CA0F36"/>
    <w:rsid w:val="00CA1EF6"/>
    <w:rsid w:val="00CD5729"/>
    <w:rsid w:val="00CF1E16"/>
    <w:rsid w:val="00CF5EA8"/>
    <w:rsid w:val="00D71826"/>
    <w:rsid w:val="00D93A27"/>
    <w:rsid w:val="00DA1E61"/>
    <w:rsid w:val="00DA6BB5"/>
    <w:rsid w:val="00DD071B"/>
    <w:rsid w:val="00DE60BC"/>
    <w:rsid w:val="00E34812"/>
    <w:rsid w:val="00E6025D"/>
    <w:rsid w:val="00E93C1D"/>
    <w:rsid w:val="00E94A35"/>
    <w:rsid w:val="00EE3864"/>
    <w:rsid w:val="00F1081D"/>
    <w:rsid w:val="00F462A9"/>
    <w:rsid w:val="00F64B1F"/>
    <w:rsid w:val="00F9062D"/>
    <w:rsid w:val="00FF5264"/>
    <w:rsid w:val="00FF6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25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66F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D66FA"/>
  </w:style>
  <w:style w:type="paragraph" w:styleId="Piedepgina">
    <w:name w:val="footer"/>
    <w:basedOn w:val="Normal"/>
    <w:link w:val="PiedepginaCar"/>
    <w:uiPriority w:val="99"/>
    <w:unhideWhenUsed/>
    <w:rsid w:val="009D66F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D66FA"/>
  </w:style>
  <w:style w:type="table" w:styleId="Tablaconcuadrcula">
    <w:name w:val="Table Grid"/>
    <w:basedOn w:val="Tablanormal"/>
    <w:uiPriority w:val="59"/>
    <w:rsid w:val="009D66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03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345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C4FF1"/>
    <w:pPr>
      <w:ind w:left="720"/>
      <w:contextualSpacing/>
    </w:pPr>
  </w:style>
  <w:style w:type="table" w:customStyle="1" w:styleId="Tabladecuadrcula6concolores-nfasis11">
    <w:name w:val="Tabla de cuadrícula 6 con colores - Énfasis 11"/>
    <w:basedOn w:val="Tablanormal"/>
    <w:uiPriority w:val="51"/>
    <w:rsid w:val="00563279"/>
    <w:pPr>
      <w:spacing w:after="0" w:line="240" w:lineRule="auto"/>
    </w:pPr>
    <w:rPr>
      <w:color w:val="365F91" w:themeColor="accent1" w:themeShade="BF"/>
      <w:lang w:val="es-ES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Default">
    <w:name w:val="Default"/>
    <w:rsid w:val="00DD071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66F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D66FA"/>
  </w:style>
  <w:style w:type="paragraph" w:styleId="Piedepgina">
    <w:name w:val="footer"/>
    <w:basedOn w:val="Normal"/>
    <w:link w:val="PiedepginaCar"/>
    <w:uiPriority w:val="99"/>
    <w:unhideWhenUsed/>
    <w:rsid w:val="009D66F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D66FA"/>
  </w:style>
  <w:style w:type="table" w:styleId="Tablaconcuadrcula">
    <w:name w:val="Table Grid"/>
    <w:basedOn w:val="Tablanormal"/>
    <w:uiPriority w:val="59"/>
    <w:rsid w:val="009D66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03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34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6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9FBC2-43A4-4584-89BD-9414B6F6B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WinuE</dc:creator>
  <cp:lastModifiedBy>saguilar</cp:lastModifiedBy>
  <cp:revision>2</cp:revision>
  <cp:lastPrinted>2018-04-13T22:30:00Z</cp:lastPrinted>
  <dcterms:created xsi:type="dcterms:W3CDTF">2018-04-13T22:30:00Z</dcterms:created>
  <dcterms:modified xsi:type="dcterms:W3CDTF">2018-04-13T22:30:00Z</dcterms:modified>
</cp:coreProperties>
</file>